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708" w:type="dxa"/>
        <w:tblInd w:w="108" w:type="dxa"/>
        <w:tblLook w:val="01E0" w:firstRow="1" w:lastRow="1" w:firstColumn="1" w:lastColumn="1" w:noHBand="0" w:noVBand="0"/>
      </w:tblPr>
      <w:tblGrid>
        <w:gridCol w:w="2880"/>
        <w:gridCol w:w="6828"/>
      </w:tblGrid>
      <w:tr w:rsidR="00F37F06" w:rsidTr="00501BBD">
        <w:tc>
          <w:tcPr>
            <w:tcW w:w="9708" w:type="dxa"/>
            <w:gridSpan w:val="2"/>
          </w:tcPr>
          <w:p w:rsidR="00F37F06" w:rsidRPr="00313781" w:rsidRDefault="00F37F06" w:rsidP="00501BBD">
            <w:bookmarkStart w:id="0" w:name="_GoBack"/>
            <w:bookmarkEnd w:id="0"/>
            <w:r>
              <w:br w:type="page"/>
            </w:r>
            <w:r>
              <w:br w:type="page"/>
            </w:r>
          </w:p>
          <w:p w:rsidR="00F37F06" w:rsidRDefault="00F37F06" w:rsidP="00501BBD">
            <w:pPr>
              <w:pStyle w:val="Kop2"/>
              <w:outlineLvl w:val="1"/>
            </w:pPr>
            <w:bookmarkStart w:id="1" w:name="_Toc245089344"/>
            <w:r>
              <w:t xml:space="preserve">Beleidscoördinator </w:t>
            </w:r>
            <w:bookmarkEnd w:id="1"/>
            <w:r w:rsidR="00797A78" w:rsidRPr="00797A78">
              <w:t>belev</w:t>
            </w:r>
            <w:r w:rsidR="002F6D6C">
              <w:t>i</w:t>
            </w:r>
            <w:r w:rsidR="00797A78" w:rsidRPr="00797A78">
              <w:t>n</w:t>
            </w:r>
            <w:r w:rsidR="002F6D6C">
              <w:t>g</w:t>
            </w:r>
            <w:r w:rsidR="00797A78" w:rsidRPr="00797A78">
              <w:t xml:space="preserve"> en zorg</w:t>
            </w:r>
          </w:p>
          <w:p w:rsidR="00F37F06" w:rsidRDefault="00F37F06" w:rsidP="00501BBD"/>
        </w:tc>
      </w:tr>
      <w:tr w:rsidR="00F37F06" w:rsidTr="00501BBD">
        <w:tc>
          <w:tcPr>
            <w:tcW w:w="2880" w:type="dxa"/>
            <w:vAlign w:val="center"/>
          </w:tcPr>
          <w:p w:rsidR="00F37F06" w:rsidRPr="001F26EC" w:rsidRDefault="00F37F06" w:rsidP="00501BBD">
            <w:pPr>
              <w:rPr>
                <w:b/>
              </w:rPr>
            </w:pPr>
            <w:r w:rsidRPr="001F26EC">
              <w:rPr>
                <w:b/>
              </w:rPr>
              <w:t>Dienst</w:t>
            </w:r>
          </w:p>
        </w:tc>
        <w:tc>
          <w:tcPr>
            <w:tcW w:w="6828" w:type="dxa"/>
            <w:vAlign w:val="center"/>
          </w:tcPr>
          <w:p w:rsidR="00F37F06" w:rsidRPr="00313781" w:rsidRDefault="00F37F06" w:rsidP="00501BBD">
            <w:r>
              <w:t>n.v.t.</w:t>
            </w:r>
          </w:p>
        </w:tc>
      </w:tr>
      <w:tr w:rsidR="00F37F06" w:rsidTr="00501BBD">
        <w:tc>
          <w:tcPr>
            <w:tcW w:w="2880" w:type="dxa"/>
            <w:vAlign w:val="center"/>
          </w:tcPr>
          <w:p w:rsidR="00F37F06" w:rsidRPr="001F26EC" w:rsidRDefault="00F37F06" w:rsidP="00501BBD">
            <w:pPr>
              <w:rPr>
                <w:b/>
              </w:rPr>
            </w:pPr>
            <w:r>
              <w:rPr>
                <w:b/>
              </w:rPr>
              <w:t>Functiekaart</w:t>
            </w:r>
          </w:p>
        </w:tc>
        <w:tc>
          <w:tcPr>
            <w:tcW w:w="6828" w:type="dxa"/>
            <w:vAlign w:val="center"/>
          </w:tcPr>
          <w:p w:rsidR="00F37F06" w:rsidRDefault="00F37F06" w:rsidP="00797A78">
            <w:r>
              <w:t>Beleidscoördinator</w:t>
            </w:r>
          </w:p>
        </w:tc>
      </w:tr>
      <w:tr w:rsidR="00F37F06" w:rsidTr="00501BBD">
        <w:tc>
          <w:tcPr>
            <w:tcW w:w="2880" w:type="dxa"/>
            <w:vAlign w:val="center"/>
          </w:tcPr>
          <w:p w:rsidR="00F37F06" w:rsidRPr="001F26EC" w:rsidRDefault="00F37F06" w:rsidP="00501BBD">
            <w:pPr>
              <w:rPr>
                <w:b/>
              </w:rPr>
            </w:pPr>
            <w:r w:rsidRPr="001F26EC">
              <w:rPr>
                <w:b/>
              </w:rPr>
              <w:t>Weddeschaal</w:t>
            </w:r>
          </w:p>
        </w:tc>
        <w:tc>
          <w:tcPr>
            <w:tcW w:w="6828" w:type="dxa"/>
            <w:vAlign w:val="center"/>
          </w:tcPr>
          <w:p w:rsidR="00F37F06" w:rsidRDefault="00F37F06" w:rsidP="00501BBD">
            <w:r>
              <w:t>A4a-A4b</w:t>
            </w:r>
          </w:p>
        </w:tc>
      </w:tr>
      <w:tr w:rsidR="00F37F06" w:rsidTr="00501BBD">
        <w:tc>
          <w:tcPr>
            <w:tcW w:w="2880" w:type="dxa"/>
            <w:vAlign w:val="center"/>
          </w:tcPr>
          <w:p w:rsidR="00F37F06" w:rsidRPr="001F26EC" w:rsidRDefault="00F37F06" w:rsidP="00501BBD">
            <w:pPr>
              <w:rPr>
                <w:b/>
              </w:rPr>
            </w:pPr>
            <w:r w:rsidRPr="001F26EC">
              <w:rPr>
                <w:b/>
              </w:rPr>
              <w:t>Te begeven bij</w:t>
            </w:r>
          </w:p>
        </w:tc>
        <w:tc>
          <w:tcPr>
            <w:tcW w:w="6828" w:type="dxa"/>
            <w:vAlign w:val="center"/>
          </w:tcPr>
          <w:p w:rsidR="00F37F06" w:rsidRDefault="00F37F06" w:rsidP="00501BBD">
            <w:r>
              <w:t>Aanwerving of bevordering</w:t>
            </w:r>
          </w:p>
        </w:tc>
      </w:tr>
      <w:tr w:rsidR="00F37F06" w:rsidTr="00501BBD">
        <w:tc>
          <w:tcPr>
            <w:tcW w:w="2880" w:type="dxa"/>
            <w:vAlign w:val="center"/>
          </w:tcPr>
          <w:p w:rsidR="00F37F06" w:rsidRDefault="00F37F06" w:rsidP="00501BBD">
            <w:pPr>
              <w:rPr>
                <w:b/>
              </w:rPr>
            </w:pPr>
            <w:r>
              <w:rPr>
                <w:b/>
              </w:rPr>
              <w:t>Plaats in het organogram</w:t>
            </w:r>
          </w:p>
        </w:tc>
        <w:tc>
          <w:tcPr>
            <w:tcW w:w="6828" w:type="dxa"/>
            <w:vAlign w:val="center"/>
          </w:tcPr>
          <w:p w:rsidR="00F37F06" w:rsidRDefault="00F37F06" w:rsidP="00501BBD">
            <w:pPr>
              <w:rPr>
                <w:szCs w:val="20"/>
              </w:rPr>
            </w:pPr>
          </w:p>
          <w:p w:rsidR="00F37F06" w:rsidRPr="001F26EC" w:rsidRDefault="00F37F06" w:rsidP="002F6D6C">
            <w:pPr>
              <w:rPr>
                <w:szCs w:val="20"/>
              </w:rPr>
            </w:pPr>
            <w:r>
              <w:rPr>
                <w:szCs w:val="20"/>
              </w:rPr>
              <w:t xml:space="preserve">De beleidscoördinator </w:t>
            </w:r>
            <w:r w:rsidR="002F6D6C">
              <w:rPr>
                <w:szCs w:val="20"/>
              </w:rPr>
              <w:t>belevi</w:t>
            </w:r>
            <w:r w:rsidR="00501BBD">
              <w:rPr>
                <w:szCs w:val="20"/>
              </w:rPr>
              <w:t>n</w:t>
            </w:r>
            <w:r w:rsidR="002F6D6C">
              <w:rPr>
                <w:szCs w:val="20"/>
              </w:rPr>
              <w:t>g</w:t>
            </w:r>
            <w:r w:rsidR="00501BBD">
              <w:rPr>
                <w:szCs w:val="20"/>
              </w:rPr>
              <w:t xml:space="preserve"> en zorg</w:t>
            </w:r>
            <w:r w:rsidR="009D11E5">
              <w:rPr>
                <w:szCs w:val="20"/>
              </w:rPr>
              <w:t xml:space="preserve"> </w:t>
            </w:r>
            <w:r>
              <w:rPr>
                <w:szCs w:val="20"/>
              </w:rPr>
              <w:t xml:space="preserve">staat aan het hoofd van de sector </w:t>
            </w:r>
            <w:r w:rsidR="009D11E5">
              <w:rPr>
                <w:szCs w:val="20"/>
              </w:rPr>
              <w:t>belevi</w:t>
            </w:r>
            <w:r w:rsidR="00501BBD">
              <w:rPr>
                <w:szCs w:val="20"/>
              </w:rPr>
              <w:t>n</w:t>
            </w:r>
            <w:r w:rsidR="009D11E5">
              <w:rPr>
                <w:szCs w:val="20"/>
              </w:rPr>
              <w:t>g</w:t>
            </w:r>
            <w:r w:rsidR="00501BBD">
              <w:rPr>
                <w:szCs w:val="20"/>
              </w:rPr>
              <w:t xml:space="preserve"> en zorg </w:t>
            </w:r>
            <w:r>
              <w:rPr>
                <w:szCs w:val="20"/>
              </w:rPr>
              <w:t xml:space="preserve">en legt verantwoording af aan de </w:t>
            </w:r>
            <w:r w:rsidR="00501BBD" w:rsidRPr="00501BBD">
              <w:rPr>
                <w:szCs w:val="20"/>
              </w:rPr>
              <w:t>Algemeen Directeur</w:t>
            </w:r>
            <w:r>
              <w:rPr>
                <w:szCs w:val="20"/>
              </w:rPr>
              <w:t xml:space="preserve">. </w:t>
            </w:r>
            <w:r w:rsidR="00501BBD">
              <w:rPr>
                <w:szCs w:val="20"/>
              </w:rPr>
              <w:t>De beleidscoördinator is l</w:t>
            </w:r>
            <w:r>
              <w:rPr>
                <w:szCs w:val="20"/>
              </w:rPr>
              <w:t>id van het managementteam.</w:t>
            </w:r>
          </w:p>
        </w:tc>
      </w:tr>
      <w:tr w:rsidR="00F37F06" w:rsidTr="00501BBD">
        <w:tc>
          <w:tcPr>
            <w:tcW w:w="2880" w:type="dxa"/>
            <w:vAlign w:val="center"/>
          </w:tcPr>
          <w:p w:rsidR="00F37F06" w:rsidRDefault="00F37F06" w:rsidP="00501BBD">
            <w:pPr>
              <w:rPr>
                <w:b/>
              </w:rPr>
            </w:pPr>
            <w:r>
              <w:rPr>
                <w:b/>
              </w:rPr>
              <w:t>Directe leidinggevende</w:t>
            </w:r>
          </w:p>
        </w:tc>
        <w:tc>
          <w:tcPr>
            <w:tcW w:w="6828" w:type="dxa"/>
            <w:vAlign w:val="center"/>
          </w:tcPr>
          <w:p w:rsidR="00F37F06" w:rsidRPr="001F26EC" w:rsidRDefault="00501BBD" w:rsidP="00501BBD">
            <w:pPr>
              <w:rPr>
                <w:szCs w:val="20"/>
              </w:rPr>
            </w:pPr>
            <w:r>
              <w:rPr>
                <w:szCs w:val="20"/>
              </w:rPr>
              <w:t>Algemeen Directeur</w:t>
            </w:r>
          </w:p>
        </w:tc>
      </w:tr>
      <w:tr w:rsidR="00F37F06" w:rsidTr="00501BBD">
        <w:tc>
          <w:tcPr>
            <w:tcW w:w="2880" w:type="dxa"/>
            <w:vAlign w:val="center"/>
          </w:tcPr>
          <w:p w:rsidR="00F37F06" w:rsidRPr="001F26EC" w:rsidRDefault="00F37F06" w:rsidP="00501BBD">
            <w:pPr>
              <w:rPr>
                <w:b/>
              </w:rPr>
            </w:pPr>
            <w:r w:rsidRPr="001F26EC">
              <w:rPr>
                <w:b/>
              </w:rPr>
              <w:t>Hoofddoel van de functie</w:t>
            </w:r>
          </w:p>
        </w:tc>
        <w:tc>
          <w:tcPr>
            <w:tcW w:w="6828" w:type="dxa"/>
            <w:vAlign w:val="center"/>
          </w:tcPr>
          <w:p w:rsidR="00F37F06" w:rsidRDefault="00F37F06" w:rsidP="00501BBD">
            <w:pPr>
              <w:rPr>
                <w:szCs w:val="20"/>
              </w:rPr>
            </w:pPr>
          </w:p>
          <w:p w:rsidR="00F37F06" w:rsidRDefault="00F37F06" w:rsidP="00501BBD">
            <w:pPr>
              <w:rPr>
                <w:szCs w:val="20"/>
              </w:rPr>
            </w:pPr>
            <w:r>
              <w:rPr>
                <w:szCs w:val="20"/>
              </w:rPr>
              <w:t xml:space="preserve">Coördinatie van de sector </w:t>
            </w:r>
            <w:r w:rsidR="002F6D6C">
              <w:rPr>
                <w:szCs w:val="20"/>
              </w:rPr>
              <w:t>belevi</w:t>
            </w:r>
            <w:r w:rsidR="00501BBD">
              <w:rPr>
                <w:szCs w:val="20"/>
              </w:rPr>
              <w:t>n</w:t>
            </w:r>
            <w:r w:rsidR="002F6D6C">
              <w:rPr>
                <w:szCs w:val="20"/>
              </w:rPr>
              <w:t>g</w:t>
            </w:r>
            <w:r w:rsidR="00501BBD">
              <w:rPr>
                <w:szCs w:val="20"/>
              </w:rPr>
              <w:t xml:space="preserve"> en zorg </w:t>
            </w:r>
            <w:r>
              <w:rPr>
                <w:szCs w:val="20"/>
              </w:rPr>
              <w:t xml:space="preserve">en het ontwikkelen van een langetermijnvisie voor de sector. </w:t>
            </w:r>
          </w:p>
          <w:p w:rsidR="00F37F06" w:rsidRPr="001F26EC" w:rsidRDefault="00F37F06" w:rsidP="00501BBD">
            <w:pPr>
              <w:rPr>
                <w:szCs w:val="20"/>
              </w:rPr>
            </w:pPr>
          </w:p>
        </w:tc>
      </w:tr>
      <w:tr w:rsidR="00F37F06" w:rsidRPr="001F26EC" w:rsidTr="00501BBD">
        <w:tc>
          <w:tcPr>
            <w:tcW w:w="9708" w:type="dxa"/>
            <w:gridSpan w:val="2"/>
            <w:tcBorders>
              <w:bottom w:val="single" w:sz="4" w:space="0" w:color="auto"/>
            </w:tcBorders>
          </w:tcPr>
          <w:p w:rsidR="00F37F06" w:rsidRPr="001F26EC" w:rsidRDefault="00F37F06" w:rsidP="00501BBD">
            <w:pPr>
              <w:rPr>
                <w:b/>
                <w:szCs w:val="20"/>
              </w:rPr>
            </w:pPr>
          </w:p>
          <w:p w:rsidR="00F37F06" w:rsidRDefault="00F37F06" w:rsidP="00501BBD">
            <w:pPr>
              <w:rPr>
                <w:b/>
                <w:szCs w:val="20"/>
              </w:rPr>
            </w:pPr>
            <w:r>
              <w:rPr>
                <w:b/>
                <w:szCs w:val="20"/>
              </w:rPr>
              <w:t>Taakomschrijving</w:t>
            </w:r>
          </w:p>
          <w:p w:rsidR="00F37F06" w:rsidRPr="001F26EC" w:rsidRDefault="00F37F06" w:rsidP="00501BBD">
            <w:pPr>
              <w:rPr>
                <w:b/>
                <w:szCs w:val="20"/>
              </w:rPr>
            </w:pPr>
          </w:p>
          <w:p w:rsidR="00F37F06" w:rsidRPr="00CB5659" w:rsidRDefault="00F37F06" w:rsidP="00501BBD">
            <w:pPr>
              <w:numPr>
                <w:ilvl w:val="0"/>
                <w:numId w:val="1"/>
              </w:numPr>
              <w:rPr>
                <w:szCs w:val="20"/>
              </w:rPr>
            </w:pPr>
            <w:r>
              <w:t>staat, binnen het door de gemeenteraad goedgekeurde organogram en in overleg met het managementteam in voor het uittekenen en onderhouden van een adequate organisatiestructuur en efficiënte werkingsprocessen binnen zijn sector teneinde het realiseren van doelstellingen van het bestuur te bevorderen en een kwalitatieve dienstverlening aan de bevolking te verzekeren</w:t>
            </w:r>
          </w:p>
          <w:p w:rsidR="00F37F06" w:rsidRPr="00CB5659" w:rsidRDefault="00F37F06" w:rsidP="00501BBD">
            <w:pPr>
              <w:numPr>
                <w:ilvl w:val="0"/>
                <w:numId w:val="1"/>
              </w:numPr>
              <w:rPr>
                <w:szCs w:val="20"/>
              </w:rPr>
            </w:pPr>
            <w:r>
              <w:t>in overleg met het managementteam, college en de diensthoofden opmaken van een voorstel voor de strategische nota en de meerjarenplanning, het jaarlijks budget en de budgetwijzigingen voor wat betreft de eigen beleidssector, ten einde voor het bestuur en de administratie een kader te creëren dat richting geeft bij het nemen van de dagelijkse operationele beslissingen en acties</w:t>
            </w:r>
          </w:p>
          <w:p w:rsidR="00F37F06" w:rsidRPr="00CB5659" w:rsidRDefault="00F37F06" w:rsidP="00501BBD">
            <w:pPr>
              <w:numPr>
                <w:ilvl w:val="0"/>
                <w:numId w:val="1"/>
              </w:numPr>
              <w:rPr>
                <w:szCs w:val="20"/>
              </w:rPr>
            </w:pPr>
            <w:r>
              <w:t xml:space="preserve">in overleg met de </w:t>
            </w:r>
            <w:r w:rsidR="00B75E58">
              <w:t>Algemeen Directeur</w:t>
            </w:r>
            <w:r>
              <w:t xml:space="preserve"> en de diensthoofden alle documenten die vanuit de sector </w:t>
            </w:r>
            <w:r w:rsidR="002F6D6C">
              <w:t>belevi</w:t>
            </w:r>
            <w:r w:rsidR="00B75E58">
              <w:t>n</w:t>
            </w:r>
            <w:r w:rsidR="002F6D6C">
              <w:t>g</w:t>
            </w:r>
            <w:r w:rsidR="00B75E58">
              <w:t xml:space="preserve"> en zorg</w:t>
            </w:r>
            <w:r>
              <w:t xml:space="preserve"> aan de gemeenteraad of het College worden voorgelegd, voorbereiden, teneinde een vlotte en effectieve behandeling en besluitvorming te bevorderen</w:t>
            </w:r>
          </w:p>
          <w:p w:rsidR="00F37F06" w:rsidRPr="00CB5659" w:rsidRDefault="00F37F06" w:rsidP="00501BBD">
            <w:pPr>
              <w:numPr>
                <w:ilvl w:val="0"/>
                <w:numId w:val="1"/>
              </w:numPr>
              <w:rPr>
                <w:szCs w:val="20"/>
              </w:rPr>
            </w:pPr>
            <w:r>
              <w:t>evalueren en waar nodig opvolgen van de dagelijkse werking van de diensten in zijn sector, ten einde de korte – en lange termijndoelstellingen van het bestuur te helpen realiseren en een effectieve en efficiënte dienstverlening aan de bevolking te verzekeren</w:t>
            </w:r>
          </w:p>
          <w:p w:rsidR="00F37F06" w:rsidRPr="00CB5659" w:rsidRDefault="00F37F06" w:rsidP="00501BBD">
            <w:pPr>
              <w:numPr>
                <w:ilvl w:val="0"/>
                <w:numId w:val="1"/>
              </w:numPr>
              <w:rPr>
                <w:szCs w:val="20"/>
              </w:rPr>
            </w:pPr>
            <w:r>
              <w:t>coachen en ondersteunen van diensthoofden uit de sector</w:t>
            </w:r>
          </w:p>
          <w:p w:rsidR="00F37F06" w:rsidRPr="00CB5659" w:rsidRDefault="00F37F06" w:rsidP="00501BBD">
            <w:pPr>
              <w:numPr>
                <w:ilvl w:val="0"/>
                <w:numId w:val="1"/>
              </w:numPr>
              <w:rPr>
                <w:szCs w:val="20"/>
              </w:rPr>
            </w:pPr>
            <w:r>
              <w:t>onderhouden van goede externe contacten met relevante personen of instanties en de organisatie vertegenwoordigen, teneinde de werking van het gemeentebestuur te faciliteren en/of haar belangen te verdedigen</w:t>
            </w:r>
          </w:p>
          <w:p w:rsidR="00F37F06" w:rsidRPr="001F26EC" w:rsidRDefault="00F37F06" w:rsidP="00501BBD">
            <w:pPr>
              <w:rPr>
                <w:szCs w:val="20"/>
              </w:rPr>
            </w:pPr>
          </w:p>
        </w:tc>
      </w:tr>
      <w:tr w:rsidR="00F37F06" w:rsidRPr="00753F49" w:rsidTr="00501BBD">
        <w:tc>
          <w:tcPr>
            <w:tcW w:w="9708" w:type="dxa"/>
            <w:gridSpan w:val="2"/>
            <w:tcBorders>
              <w:bottom w:val="single" w:sz="4" w:space="0" w:color="auto"/>
            </w:tcBorders>
          </w:tcPr>
          <w:p w:rsidR="00F37F06" w:rsidRPr="00753F49" w:rsidRDefault="00F37F06" w:rsidP="00501BBD">
            <w:pPr>
              <w:rPr>
                <w:szCs w:val="20"/>
              </w:rPr>
            </w:pPr>
          </w:p>
          <w:p w:rsidR="00F37F06" w:rsidRPr="00753F49" w:rsidRDefault="00F37F06" w:rsidP="00501BBD">
            <w:pPr>
              <w:rPr>
                <w:b/>
                <w:szCs w:val="20"/>
              </w:rPr>
            </w:pPr>
            <w:r w:rsidRPr="00753F49">
              <w:rPr>
                <w:b/>
                <w:szCs w:val="20"/>
              </w:rPr>
              <w:t>Competentieprofiel</w:t>
            </w:r>
          </w:p>
          <w:p w:rsidR="00F37F06" w:rsidRPr="00753F49" w:rsidRDefault="00F37F06" w:rsidP="00501BBD">
            <w:pPr>
              <w:rPr>
                <w:szCs w:val="20"/>
              </w:rPr>
            </w:pPr>
          </w:p>
          <w:p w:rsidR="00F37F06" w:rsidRPr="00753F49" w:rsidRDefault="00F37F06" w:rsidP="00501BBD">
            <w:pPr>
              <w:rPr>
                <w:szCs w:val="20"/>
              </w:rPr>
            </w:pPr>
            <w:r w:rsidRPr="00753F49">
              <w:rPr>
                <w:szCs w:val="20"/>
              </w:rPr>
              <w:t>Kerncompetenties:</w:t>
            </w:r>
          </w:p>
          <w:p w:rsidR="00F37F06" w:rsidRPr="00753F49" w:rsidRDefault="00F37F06" w:rsidP="00501BBD">
            <w:pPr>
              <w:numPr>
                <w:ilvl w:val="0"/>
                <w:numId w:val="1"/>
              </w:numPr>
              <w:rPr>
                <w:szCs w:val="20"/>
              </w:rPr>
            </w:pPr>
            <w:r w:rsidRPr="00753F49">
              <w:rPr>
                <w:szCs w:val="20"/>
              </w:rPr>
              <w:t>klantgericht zijn</w:t>
            </w:r>
          </w:p>
          <w:p w:rsidR="00F37F06" w:rsidRPr="00753F49" w:rsidRDefault="00F37F06" w:rsidP="00501BBD">
            <w:pPr>
              <w:numPr>
                <w:ilvl w:val="0"/>
                <w:numId w:val="1"/>
              </w:numPr>
              <w:rPr>
                <w:szCs w:val="20"/>
              </w:rPr>
            </w:pPr>
            <w:r w:rsidRPr="00753F49">
              <w:rPr>
                <w:szCs w:val="20"/>
              </w:rPr>
              <w:t>samenwerken</w:t>
            </w:r>
          </w:p>
          <w:p w:rsidR="00F37F06" w:rsidRPr="00753F49" w:rsidRDefault="00F37F06" w:rsidP="00501BBD">
            <w:pPr>
              <w:numPr>
                <w:ilvl w:val="0"/>
                <w:numId w:val="1"/>
              </w:numPr>
              <w:rPr>
                <w:szCs w:val="20"/>
              </w:rPr>
            </w:pPr>
            <w:r w:rsidRPr="00753F49">
              <w:rPr>
                <w:szCs w:val="20"/>
              </w:rPr>
              <w:t>voortdurend verbeteren</w:t>
            </w:r>
          </w:p>
          <w:p w:rsidR="00F37F06" w:rsidRPr="00753F49" w:rsidRDefault="00F37F06" w:rsidP="00501BBD">
            <w:pPr>
              <w:rPr>
                <w:szCs w:val="20"/>
              </w:rPr>
            </w:pPr>
          </w:p>
          <w:p w:rsidR="00F37F06" w:rsidRPr="00753F49" w:rsidRDefault="00F37F06" w:rsidP="00501BBD">
            <w:pPr>
              <w:rPr>
                <w:szCs w:val="20"/>
              </w:rPr>
            </w:pPr>
            <w:r w:rsidRPr="00753F49">
              <w:rPr>
                <w:szCs w:val="20"/>
              </w:rPr>
              <w:t>Kenniscompetentie:</w:t>
            </w:r>
          </w:p>
          <w:p w:rsidR="00F37F06" w:rsidRPr="00753F49" w:rsidRDefault="00F37F06" w:rsidP="00501BBD">
            <w:pPr>
              <w:numPr>
                <w:ilvl w:val="0"/>
                <w:numId w:val="1"/>
              </w:numPr>
              <w:rPr>
                <w:szCs w:val="20"/>
              </w:rPr>
            </w:pPr>
            <w:r>
              <w:rPr>
                <w:szCs w:val="20"/>
              </w:rPr>
              <w:t>vaktechnische kennis bezitten</w:t>
            </w:r>
          </w:p>
          <w:p w:rsidR="00F37F06" w:rsidRPr="00753F49" w:rsidRDefault="00F37F06" w:rsidP="00501BBD">
            <w:pPr>
              <w:rPr>
                <w:szCs w:val="20"/>
              </w:rPr>
            </w:pPr>
          </w:p>
          <w:p w:rsidR="00F37F06" w:rsidRPr="00753F49" w:rsidRDefault="00F37F06" w:rsidP="00501BBD">
            <w:pPr>
              <w:rPr>
                <w:szCs w:val="20"/>
              </w:rPr>
            </w:pPr>
            <w:r w:rsidRPr="00753F49">
              <w:rPr>
                <w:szCs w:val="20"/>
              </w:rPr>
              <w:t>Gedragscompetenties:</w:t>
            </w:r>
          </w:p>
          <w:p w:rsidR="00F37F06" w:rsidRDefault="00F37F06" w:rsidP="00501BBD">
            <w:pPr>
              <w:numPr>
                <w:ilvl w:val="0"/>
                <w:numId w:val="1"/>
              </w:numPr>
              <w:rPr>
                <w:szCs w:val="20"/>
              </w:rPr>
            </w:pPr>
            <w:r>
              <w:rPr>
                <w:szCs w:val="20"/>
              </w:rPr>
              <w:t>visie vormen</w:t>
            </w:r>
          </w:p>
          <w:p w:rsidR="00F37F06" w:rsidRDefault="00F37F06" w:rsidP="00501BBD">
            <w:pPr>
              <w:numPr>
                <w:ilvl w:val="0"/>
                <w:numId w:val="1"/>
              </w:numPr>
              <w:rPr>
                <w:szCs w:val="20"/>
              </w:rPr>
            </w:pPr>
            <w:r>
              <w:rPr>
                <w:szCs w:val="20"/>
              </w:rPr>
              <w:t>communiceren</w:t>
            </w:r>
          </w:p>
          <w:p w:rsidR="00F37F06" w:rsidRDefault="00F37F06" w:rsidP="00501BBD">
            <w:pPr>
              <w:numPr>
                <w:ilvl w:val="0"/>
                <w:numId w:val="1"/>
              </w:numPr>
              <w:rPr>
                <w:szCs w:val="20"/>
              </w:rPr>
            </w:pPr>
            <w:r>
              <w:rPr>
                <w:szCs w:val="20"/>
              </w:rPr>
              <w:t>motiveren en inspireren</w:t>
            </w:r>
          </w:p>
          <w:p w:rsidR="00F37F06" w:rsidRDefault="00F37F06" w:rsidP="00501BBD">
            <w:pPr>
              <w:numPr>
                <w:ilvl w:val="0"/>
                <w:numId w:val="1"/>
              </w:numPr>
              <w:rPr>
                <w:szCs w:val="20"/>
              </w:rPr>
            </w:pPr>
            <w:r>
              <w:rPr>
                <w:szCs w:val="20"/>
              </w:rPr>
              <w:t>plannen en organiseren</w:t>
            </w:r>
          </w:p>
          <w:p w:rsidR="00F37F06" w:rsidRDefault="00F37F06" w:rsidP="00501BBD">
            <w:pPr>
              <w:numPr>
                <w:ilvl w:val="0"/>
                <w:numId w:val="1"/>
              </w:numPr>
              <w:rPr>
                <w:szCs w:val="20"/>
              </w:rPr>
            </w:pPr>
            <w:r>
              <w:rPr>
                <w:szCs w:val="20"/>
              </w:rPr>
              <w:t>organisatiebetrokkenheid</w:t>
            </w:r>
          </w:p>
          <w:p w:rsidR="00F37F06" w:rsidRPr="00753F49" w:rsidRDefault="00F37F06" w:rsidP="00501BBD">
            <w:pPr>
              <w:rPr>
                <w:szCs w:val="20"/>
              </w:rPr>
            </w:pPr>
          </w:p>
        </w:tc>
      </w:tr>
    </w:tbl>
    <w:p w:rsidR="00501BBD" w:rsidRDefault="00501BBD"/>
    <w:sectPr w:rsidR="00501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33731"/>
    <w:multiLevelType w:val="hybridMultilevel"/>
    <w:tmpl w:val="10E46638"/>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06"/>
    <w:rsid w:val="00170084"/>
    <w:rsid w:val="002F6D6C"/>
    <w:rsid w:val="003B707A"/>
    <w:rsid w:val="00445A8C"/>
    <w:rsid w:val="00501BBD"/>
    <w:rsid w:val="00797A78"/>
    <w:rsid w:val="009D11E5"/>
    <w:rsid w:val="00B75E58"/>
    <w:rsid w:val="00E66D51"/>
    <w:rsid w:val="00F37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F06"/>
    <w:pPr>
      <w:spacing w:after="0" w:line="240" w:lineRule="auto"/>
    </w:pPr>
    <w:rPr>
      <w:rFonts w:ascii="Arial" w:eastAsia="Times New Roman" w:hAnsi="Arial" w:cs="Times New Roman"/>
      <w:sz w:val="20"/>
      <w:szCs w:val="24"/>
      <w:lang w:val="nl-NL" w:eastAsia="nl-NL"/>
    </w:rPr>
  </w:style>
  <w:style w:type="paragraph" w:styleId="Kop2">
    <w:name w:val="heading 2"/>
    <w:basedOn w:val="Standaard"/>
    <w:next w:val="Standaard"/>
    <w:link w:val="Kop2Char"/>
    <w:qFormat/>
    <w:rsid w:val="00F37F06"/>
    <w:pPr>
      <w:keepNext/>
      <w:outlineLvl w:val="1"/>
    </w:pPr>
    <w:rPr>
      <w:rFonts w:cs="Arial"/>
      <w:b/>
      <w:bCs/>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37F06"/>
    <w:rPr>
      <w:rFonts w:ascii="Arial" w:eastAsia="Times New Roman" w:hAnsi="Arial" w:cs="Arial"/>
      <w:b/>
      <w:bCs/>
      <w:iCs/>
      <w:sz w:val="32"/>
      <w:szCs w:val="28"/>
      <w:lang w:val="nl-NL" w:eastAsia="nl-NL"/>
    </w:rPr>
  </w:style>
  <w:style w:type="table" w:styleId="Tabelraster">
    <w:name w:val="Table Grid"/>
    <w:basedOn w:val="Standaardtabel"/>
    <w:rsid w:val="00F37F0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F6D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D6C"/>
    <w:rPr>
      <w:rFonts w:ascii="Segoe UI" w:eastAsia="Times New Roman"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F06"/>
    <w:pPr>
      <w:spacing w:after="0" w:line="240" w:lineRule="auto"/>
    </w:pPr>
    <w:rPr>
      <w:rFonts w:ascii="Arial" w:eastAsia="Times New Roman" w:hAnsi="Arial" w:cs="Times New Roman"/>
      <w:sz w:val="20"/>
      <w:szCs w:val="24"/>
      <w:lang w:val="nl-NL" w:eastAsia="nl-NL"/>
    </w:rPr>
  </w:style>
  <w:style w:type="paragraph" w:styleId="Kop2">
    <w:name w:val="heading 2"/>
    <w:basedOn w:val="Standaard"/>
    <w:next w:val="Standaard"/>
    <w:link w:val="Kop2Char"/>
    <w:qFormat/>
    <w:rsid w:val="00F37F06"/>
    <w:pPr>
      <w:keepNext/>
      <w:outlineLvl w:val="1"/>
    </w:pPr>
    <w:rPr>
      <w:rFonts w:cs="Arial"/>
      <w:b/>
      <w:bCs/>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37F06"/>
    <w:rPr>
      <w:rFonts w:ascii="Arial" w:eastAsia="Times New Roman" w:hAnsi="Arial" w:cs="Arial"/>
      <w:b/>
      <w:bCs/>
      <w:iCs/>
      <w:sz w:val="32"/>
      <w:szCs w:val="28"/>
      <w:lang w:val="nl-NL" w:eastAsia="nl-NL"/>
    </w:rPr>
  </w:style>
  <w:style w:type="table" w:styleId="Tabelraster">
    <w:name w:val="Table Grid"/>
    <w:basedOn w:val="Standaardtabel"/>
    <w:rsid w:val="00F37F0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F6D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D6C"/>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2000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ocmw lummen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BEETS Annie</dc:creator>
  <cp:lastModifiedBy>Kim Degol</cp:lastModifiedBy>
  <cp:revision>2</cp:revision>
  <cp:lastPrinted>2019-09-09T12:15:00Z</cp:lastPrinted>
  <dcterms:created xsi:type="dcterms:W3CDTF">2019-09-09T12:16:00Z</dcterms:created>
  <dcterms:modified xsi:type="dcterms:W3CDTF">2019-09-09T12:16:00Z</dcterms:modified>
</cp:coreProperties>
</file>